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8FDBC" w14:textId="5C482FFD" w:rsidR="006A3758" w:rsidRDefault="00000000">
      <w:pPr>
        <w:pStyle w:val="Heading1"/>
      </w:pPr>
      <w:bookmarkStart w:id="0" w:name="_i76c8zb5lfhm" w:colFirst="0" w:colLast="0"/>
      <w:bookmarkEnd w:id="0"/>
      <w:r>
        <w:t>Executive Coach Profile:</w:t>
      </w:r>
      <w:r w:rsidR="00AE5B61">
        <w:t xml:space="preserve"> Stephen Burt.</w:t>
      </w: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6A3758" w14:paraId="2DF7E791" w14:textId="77777777">
        <w:tc>
          <w:tcPr>
            <w:tcW w:w="2376" w:type="dxa"/>
            <w:shd w:val="clear" w:color="auto" w:fill="auto"/>
          </w:tcPr>
          <w:p w14:paraId="24F4BC4D" w14:textId="77777777" w:rsidR="00B96ECE" w:rsidRPr="00B96ECE" w:rsidRDefault="00B96ECE" w:rsidP="00B96ECE">
            <w:pPr>
              <w:rPr>
                <w:b/>
                <w:bCs/>
                <w:color w:val="1F497D" w:themeColor="text2"/>
                <w:lang w:val="en-GB"/>
              </w:rPr>
            </w:pPr>
            <w:r w:rsidRPr="00B96ECE">
              <w:rPr>
                <w:b/>
                <w:bCs/>
                <w:color w:val="1F497D" w:themeColor="text2"/>
                <w:lang w:val="en-GB"/>
              </w:rPr>
              <w:t>Coaching Philosophy, what coaching means to me:</w:t>
            </w:r>
          </w:p>
          <w:p w14:paraId="324AE09A" w14:textId="6D76862C" w:rsidR="006A3758" w:rsidRDefault="006A3758"/>
        </w:tc>
        <w:tc>
          <w:tcPr>
            <w:tcW w:w="6866" w:type="dxa"/>
            <w:shd w:val="clear" w:color="auto" w:fill="auto"/>
          </w:tcPr>
          <w:p w14:paraId="6B21EFB4" w14:textId="0E3B6AD1" w:rsidR="006A3758" w:rsidRPr="00CE79EC" w:rsidRDefault="00CE79EC" w:rsidP="000B7D5C">
            <w:pPr>
              <w:rPr>
                <w:bCs/>
              </w:rPr>
            </w:pPr>
            <w:r w:rsidRPr="00CE79EC">
              <w:rPr>
                <w:bCs/>
              </w:rPr>
              <w:t>I work with the way in which clients present themselves and with the story they have about who they are</w:t>
            </w:r>
            <w:r w:rsidR="00307645">
              <w:rPr>
                <w:bCs/>
              </w:rPr>
              <w:t xml:space="preserve"> and what challenges them</w:t>
            </w:r>
            <w:r w:rsidRPr="00CE79EC">
              <w:rPr>
                <w:bCs/>
              </w:rPr>
              <w:t xml:space="preserve">. That means that coaching sessions are both exploratory and an opportunity to ‘rehearse’ and experiment with different </w:t>
            </w:r>
            <w:r w:rsidR="000358AA">
              <w:rPr>
                <w:bCs/>
              </w:rPr>
              <w:t xml:space="preserve">strategies, </w:t>
            </w:r>
            <w:r w:rsidRPr="00CE79EC">
              <w:rPr>
                <w:bCs/>
              </w:rPr>
              <w:t xml:space="preserve">ways of being and turning up. Our focus is on real-world change </w:t>
            </w:r>
            <w:r w:rsidR="000358AA">
              <w:rPr>
                <w:bCs/>
              </w:rPr>
              <w:t>for them, their teams</w:t>
            </w:r>
            <w:r w:rsidR="00E20D24">
              <w:rPr>
                <w:bCs/>
              </w:rPr>
              <w:t>,</w:t>
            </w:r>
            <w:r w:rsidR="000358AA">
              <w:rPr>
                <w:bCs/>
              </w:rPr>
              <w:t xml:space="preserve"> and </w:t>
            </w:r>
            <w:r w:rsidR="00F84E05">
              <w:rPr>
                <w:bCs/>
              </w:rPr>
              <w:t>organizations</w:t>
            </w:r>
            <w:r w:rsidR="000358AA">
              <w:rPr>
                <w:bCs/>
              </w:rPr>
              <w:t xml:space="preserve">. </w:t>
            </w:r>
            <w:r w:rsidR="00E20D24">
              <w:rPr>
                <w:bCs/>
              </w:rPr>
              <w:t>But t</w:t>
            </w:r>
            <w:r w:rsidRPr="00CE79EC">
              <w:rPr>
                <w:bCs/>
              </w:rPr>
              <w:t xml:space="preserve">here is often lightness and </w:t>
            </w:r>
            <w:r w:rsidR="00F84E05" w:rsidRPr="00CE79EC">
              <w:rPr>
                <w:bCs/>
              </w:rPr>
              <w:t>humor</w:t>
            </w:r>
            <w:r w:rsidRPr="00CE79EC">
              <w:rPr>
                <w:bCs/>
              </w:rPr>
              <w:t xml:space="preserve"> even though clients’ challenges are important and serious. </w:t>
            </w:r>
            <w:r w:rsidR="00403EFA">
              <w:rPr>
                <w:bCs/>
              </w:rPr>
              <w:t xml:space="preserve">I have learnt that </w:t>
            </w:r>
            <w:r w:rsidRPr="00CE79EC">
              <w:rPr>
                <w:bCs/>
              </w:rPr>
              <w:t xml:space="preserve">what clients take from a session </w:t>
            </w:r>
            <w:r w:rsidR="00694217">
              <w:rPr>
                <w:bCs/>
              </w:rPr>
              <w:t xml:space="preserve">includes </w:t>
            </w:r>
            <w:r w:rsidRPr="00CE79EC">
              <w:rPr>
                <w:bCs/>
              </w:rPr>
              <w:t xml:space="preserve">what they experience and how they feel in the session, not just what they think or discover cognitively. Working how I do </w:t>
            </w:r>
            <w:r w:rsidR="00ED6598">
              <w:rPr>
                <w:bCs/>
              </w:rPr>
              <w:t>not only supports action and change</w:t>
            </w:r>
            <w:r w:rsidR="005A2D86">
              <w:rPr>
                <w:bCs/>
              </w:rPr>
              <w:t>,</w:t>
            </w:r>
            <w:r w:rsidR="00ED6598">
              <w:rPr>
                <w:bCs/>
              </w:rPr>
              <w:t xml:space="preserve"> but also </w:t>
            </w:r>
            <w:r w:rsidRPr="00CE79EC">
              <w:rPr>
                <w:bCs/>
              </w:rPr>
              <w:t xml:space="preserve">helps shift their emotional response to </w:t>
            </w:r>
            <w:r w:rsidR="005A2D86">
              <w:rPr>
                <w:bCs/>
              </w:rPr>
              <w:t xml:space="preserve">their </w:t>
            </w:r>
            <w:r w:rsidRPr="00CE79EC">
              <w:rPr>
                <w:bCs/>
              </w:rPr>
              <w:t xml:space="preserve">challenges and build </w:t>
            </w:r>
            <w:r w:rsidR="00A30CCB">
              <w:rPr>
                <w:bCs/>
              </w:rPr>
              <w:t xml:space="preserve">a </w:t>
            </w:r>
            <w:r w:rsidRPr="00CE79EC">
              <w:rPr>
                <w:bCs/>
              </w:rPr>
              <w:t xml:space="preserve">more </w:t>
            </w:r>
            <w:r w:rsidR="00823986">
              <w:rPr>
                <w:bCs/>
              </w:rPr>
              <w:t xml:space="preserve">resilient and </w:t>
            </w:r>
            <w:r w:rsidRPr="00CE79EC">
              <w:rPr>
                <w:bCs/>
              </w:rPr>
              <w:t>nuanced sense of self.</w:t>
            </w:r>
          </w:p>
          <w:p w14:paraId="7D973C79" w14:textId="46837540" w:rsidR="000B7D5C" w:rsidRDefault="000B7D5C" w:rsidP="000B7D5C">
            <w:pPr>
              <w:rPr>
                <w:b/>
              </w:rPr>
            </w:pPr>
          </w:p>
        </w:tc>
      </w:tr>
      <w:tr w:rsidR="006A3758" w14:paraId="71EAC272" w14:textId="77777777">
        <w:tc>
          <w:tcPr>
            <w:tcW w:w="2376" w:type="dxa"/>
            <w:shd w:val="clear" w:color="auto" w:fill="auto"/>
          </w:tcPr>
          <w:p w14:paraId="1A7B7806" w14:textId="3219151A" w:rsidR="006A3758" w:rsidRPr="00B96ECE" w:rsidRDefault="00000000">
            <w:pPr>
              <w:rPr>
                <w:b/>
                <w:bCs/>
              </w:rPr>
            </w:pPr>
            <w:r w:rsidRPr="00B96ECE">
              <w:rPr>
                <w:b/>
                <w:bCs/>
                <w:color w:val="1F497D" w:themeColor="text2"/>
              </w:rPr>
              <w:t>Location</w:t>
            </w:r>
            <w:r w:rsidR="00014A16">
              <w:rPr>
                <w:b/>
                <w:bCs/>
                <w:color w:val="1F497D" w:themeColor="text2"/>
              </w:rPr>
              <w:t xml:space="preserve"> &amp; Languages</w:t>
            </w:r>
          </w:p>
        </w:tc>
        <w:tc>
          <w:tcPr>
            <w:tcW w:w="6866" w:type="dxa"/>
            <w:shd w:val="clear" w:color="auto" w:fill="auto"/>
          </w:tcPr>
          <w:p w14:paraId="0DB84990" w14:textId="4ED65943" w:rsidR="006A3758" w:rsidRDefault="002B51D0">
            <w:r>
              <w:t>UK, English</w:t>
            </w:r>
          </w:p>
        </w:tc>
      </w:tr>
      <w:tr w:rsidR="006A3758" w14:paraId="7F886C6A" w14:textId="77777777">
        <w:tc>
          <w:tcPr>
            <w:tcW w:w="2376" w:type="dxa"/>
            <w:shd w:val="clear" w:color="auto" w:fill="auto"/>
          </w:tcPr>
          <w:p w14:paraId="563284E7" w14:textId="77777777" w:rsidR="006A3758" w:rsidRPr="00B96ECE" w:rsidRDefault="00000000">
            <w:pPr>
              <w:rPr>
                <w:b/>
                <w:bCs/>
                <w:i/>
              </w:rPr>
            </w:pPr>
            <w:r w:rsidRPr="00B96ECE">
              <w:rPr>
                <w:b/>
                <w:bCs/>
                <w:color w:val="1F497D" w:themeColor="text2"/>
              </w:rPr>
              <w:t>Executive coaching experience</w:t>
            </w:r>
          </w:p>
        </w:tc>
        <w:tc>
          <w:tcPr>
            <w:tcW w:w="6866" w:type="dxa"/>
            <w:shd w:val="clear" w:color="auto" w:fill="auto"/>
          </w:tcPr>
          <w:p w14:paraId="3A77D50D" w14:textId="58B53F7A" w:rsidR="003F15AE" w:rsidRDefault="003F15AE" w:rsidP="003F15AE">
            <w:r w:rsidRPr="003F15AE">
              <w:rPr>
                <w:b/>
                <w:bCs/>
              </w:rPr>
              <w:t>Level:</w:t>
            </w:r>
            <w:r>
              <w:t xml:space="preserve"> All levels from emerging leaders to CEO and Board Directors</w:t>
            </w:r>
          </w:p>
          <w:p w14:paraId="22352014" w14:textId="77777777" w:rsidR="003F15AE" w:rsidRDefault="003F15AE" w:rsidP="003F15AE"/>
          <w:p w14:paraId="6B1C5643" w14:textId="1632BF95" w:rsidR="003F15AE" w:rsidRDefault="003F15AE" w:rsidP="003F15AE">
            <w:r w:rsidRPr="003F15AE">
              <w:rPr>
                <w:b/>
                <w:bCs/>
              </w:rPr>
              <w:t>Business Sectors:</w:t>
            </w:r>
            <w:r>
              <w:t xml:space="preserve"> Financial Services, </w:t>
            </w:r>
            <w:r w:rsidR="00C830EC">
              <w:t>Biotech</w:t>
            </w:r>
            <w:r>
              <w:t xml:space="preserve">, Manufacturing, </w:t>
            </w:r>
            <w:r w:rsidR="008605D3">
              <w:t>Technology</w:t>
            </w:r>
            <w:r w:rsidR="00083A6D">
              <w:t>,</w:t>
            </w:r>
            <w:r>
              <w:t xml:space="preserve"> Consultancy services</w:t>
            </w:r>
            <w:r w:rsidR="00C830EC">
              <w:t>, Central Government</w:t>
            </w:r>
            <w:r w:rsidR="00B701F0">
              <w:t>, Military</w:t>
            </w:r>
            <w:r w:rsidR="008605D3">
              <w:t xml:space="preserve">, Performing Arts, Higher Education </w:t>
            </w:r>
          </w:p>
          <w:p w14:paraId="39262E9E" w14:textId="77777777" w:rsidR="003F15AE" w:rsidRDefault="003F15AE" w:rsidP="003F15AE"/>
          <w:p w14:paraId="08D73AFE" w14:textId="4DFCF209" w:rsidR="003F15AE" w:rsidRDefault="003F15AE" w:rsidP="003F15AE">
            <w:r w:rsidRPr="004F1687">
              <w:rPr>
                <w:b/>
                <w:bCs/>
              </w:rPr>
              <w:t>Locations</w:t>
            </w:r>
            <w:r>
              <w:t xml:space="preserve">: UK, </w:t>
            </w:r>
            <w:r w:rsidR="00453D9A">
              <w:t xml:space="preserve">Western </w:t>
            </w:r>
            <w:r>
              <w:t xml:space="preserve">Europe, </w:t>
            </w:r>
            <w:r w:rsidR="00D0440F">
              <w:t>Middle East</w:t>
            </w:r>
            <w:r w:rsidR="00453D9A">
              <w:t xml:space="preserve">, </w:t>
            </w:r>
            <w:r>
              <w:t>Asia, Eastern Europe</w:t>
            </w:r>
          </w:p>
          <w:p w14:paraId="43FEE2B6" w14:textId="77777777" w:rsidR="003F15AE" w:rsidRDefault="003F15AE" w:rsidP="003F15AE"/>
          <w:p w14:paraId="0F37C7E7" w14:textId="6F8C87B4" w:rsidR="000B7D5C" w:rsidRDefault="003F15AE" w:rsidP="003F15AE">
            <w:r>
              <w:t>I have been coaching at senior and executive levels for over 20 years</w:t>
            </w:r>
            <w:r w:rsidR="00E45D71">
              <w:t>. I teach</w:t>
            </w:r>
            <w:r>
              <w:t xml:space="preserve"> coaching skills on MBA </w:t>
            </w:r>
            <w:r w:rsidR="00BA004E">
              <w:t xml:space="preserve">and in-house </w:t>
            </w:r>
            <w:r w:rsidR="0089669D">
              <w:t>programs</w:t>
            </w:r>
            <w:r>
              <w:t xml:space="preserve">. I </w:t>
            </w:r>
            <w:r w:rsidR="00BA004E">
              <w:t>am also a published writer</w:t>
            </w:r>
            <w:r w:rsidR="000A4FB3">
              <w:t>, researcher</w:t>
            </w:r>
            <w:r w:rsidR="0089669D">
              <w:t>,</w:t>
            </w:r>
            <w:r w:rsidR="00BA004E">
              <w:t xml:space="preserve"> and speaker on coaching.</w:t>
            </w:r>
          </w:p>
          <w:p w14:paraId="46E2A2B2" w14:textId="0929E859" w:rsidR="000B7D5C" w:rsidRDefault="000B7D5C" w:rsidP="00B96ECE"/>
        </w:tc>
      </w:tr>
      <w:tr w:rsidR="00B96ECE" w14:paraId="0CA5FA50" w14:textId="77777777" w:rsidTr="00D530E6">
        <w:trPr>
          <w:trHeight w:val="838"/>
        </w:trPr>
        <w:tc>
          <w:tcPr>
            <w:tcW w:w="2376" w:type="dxa"/>
            <w:shd w:val="clear" w:color="auto" w:fill="auto"/>
          </w:tcPr>
          <w:p w14:paraId="4DCFBCB1" w14:textId="4FBF5AE9" w:rsidR="00B96ECE" w:rsidRPr="00B96ECE" w:rsidRDefault="00014A16">
            <w:pPr>
              <w:rPr>
                <w:b/>
                <w:bCs/>
              </w:rPr>
            </w:pPr>
            <w:r>
              <w:rPr>
                <w:b/>
                <w:bCs/>
                <w:color w:val="1F497D" w:themeColor="text2"/>
              </w:rPr>
              <w:t xml:space="preserve">Work </w:t>
            </w:r>
            <w:r w:rsidR="00B96ECE" w:rsidRPr="00B96ECE">
              <w:rPr>
                <w:b/>
                <w:bCs/>
                <w:color w:val="1F497D" w:themeColor="text2"/>
              </w:rPr>
              <w:t>Experience</w:t>
            </w:r>
          </w:p>
        </w:tc>
        <w:tc>
          <w:tcPr>
            <w:tcW w:w="6866" w:type="dxa"/>
            <w:shd w:val="clear" w:color="auto" w:fill="auto"/>
          </w:tcPr>
          <w:p w14:paraId="3586BA4D" w14:textId="4BEC4E06" w:rsidR="000B7D5C" w:rsidRDefault="003F6F6F" w:rsidP="00C01AC5">
            <w:r>
              <w:t xml:space="preserve">Mathematics teacher, </w:t>
            </w:r>
            <w:r w:rsidR="00473E10">
              <w:t>educational researcher, in-house consultant, senior civil servant, company director</w:t>
            </w:r>
            <w:r w:rsidR="00AD79A1">
              <w:t xml:space="preserve"> for boutique consultancy</w:t>
            </w:r>
            <w:r w:rsidR="00C01AC5">
              <w:t>.</w:t>
            </w:r>
          </w:p>
        </w:tc>
      </w:tr>
      <w:tr w:rsidR="006A3758" w14:paraId="4C4B9822" w14:textId="77777777">
        <w:tc>
          <w:tcPr>
            <w:tcW w:w="2376" w:type="dxa"/>
            <w:shd w:val="clear" w:color="auto" w:fill="auto"/>
          </w:tcPr>
          <w:p w14:paraId="124B2C94" w14:textId="5A829981" w:rsidR="006A3758" w:rsidRPr="00B96ECE" w:rsidRDefault="00B96ECE">
            <w:pPr>
              <w:rPr>
                <w:b/>
                <w:bCs/>
              </w:rPr>
            </w:pPr>
            <w:r w:rsidRPr="00B96ECE">
              <w:rPr>
                <w:b/>
                <w:bCs/>
                <w:color w:val="1F497D" w:themeColor="text2"/>
              </w:rPr>
              <w:t>Testimonials</w:t>
            </w:r>
          </w:p>
        </w:tc>
        <w:tc>
          <w:tcPr>
            <w:tcW w:w="6866" w:type="dxa"/>
            <w:shd w:val="clear" w:color="auto" w:fill="auto"/>
          </w:tcPr>
          <w:p w14:paraId="239A9CB3" w14:textId="68ABD30B" w:rsidR="00A80C2D" w:rsidRDefault="00A80C2D" w:rsidP="00A80C2D">
            <w:r>
              <w:t xml:space="preserve">“I particularly appreciated the calm way in which you dealt with my early harassed engagement. I never felt pushed in any </w:t>
            </w:r>
            <w:proofErr w:type="gramStart"/>
            <w:r>
              <w:t>particular direction</w:t>
            </w:r>
            <w:proofErr w:type="gramEnd"/>
            <w:r>
              <w:t xml:space="preserve"> but nonetheless felt firmly held to focusing on the issues I had after all raised myself – a useful lesson in responsibility.”</w:t>
            </w:r>
          </w:p>
          <w:p w14:paraId="7D7A4AED" w14:textId="77777777" w:rsidR="00A80C2D" w:rsidRPr="00A80C2D" w:rsidRDefault="00A80C2D" w:rsidP="00A80C2D">
            <w:pPr>
              <w:rPr>
                <w:b/>
                <w:bCs/>
                <w:i/>
                <w:iCs/>
              </w:rPr>
            </w:pPr>
            <w:r w:rsidRPr="00A80C2D">
              <w:rPr>
                <w:b/>
                <w:bCs/>
                <w:i/>
                <w:iCs/>
              </w:rPr>
              <w:t>Senior Scientist, Defra</w:t>
            </w:r>
          </w:p>
          <w:p w14:paraId="26A701CC" w14:textId="77777777" w:rsidR="00A80C2D" w:rsidRDefault="00A80C2D" w:rsidP="00A80C2D"/>
          <w:p w14:paraId="563F7ADE" w14:textId="0F0E797E" w:rsidR="00D530E6" w:rsidRDefault="00A80C2D" w:rsidP="00D530E6">
            <w:r>
              <w:t xml:space="preserve">“The objectives we agreed and set at the beginning are now being </w:t>
            </w:r>
            <w:r w:rsidR="00F84E05">
              <w:t>realized</w:t>
            </w:r>
            <w:r>
              <w:t>. It is also helping me to question my own perceptions of my team. I have</w:t>
            </w:r>
            <w:r w:rsidR="00D530E6">
              <w:t xml:space="preserve"> learnt: don’t be afraid to challenge thoughts and conceptions, thinking through all situations and self-questioning really does bring new perspectives and new ideas.” </w:t>
            </w:r>
          </w:p>
          <w:p w14:paraId="61B4525A" w14:textId="5C5981DF" w:rsidR="001E01C3" w:rsidRPr="00D530E6" w:rsidRDefault="00D530E6" w:rsidP="00D530E6">
            <w:pPr>
              <w:rPr>
                <w:b/>
                <w:bCs/>
                <w:i/>
                <w:iCs/>
              </w:rPr>
            </w:pPr>
            <w:r w:rsidRPr="00D530E6">
              <w:rPr>
                <w:b/>
                <w:bCs/>
                <w:i/>
                <w:iCs/>
              </w:rPr>
              <w:t>Senior Director, Global Technology Company</w:t>
            </w:r>
          </w:p>
          <w:p w14:paraId="755EAE24" w14:textId="062F8512" w:rsidR="000B7D5C" w:rsidRDefault="000B7D5C" w:rsidP="000B7D5C">
            <w:pPr>
              <w:rPr>
                <w:i/>
              </w:rPr>
            </w:pPr>
          </w:p>
        </w:tc>
      </w:tr>
      <w:tr w:rsidR="006A3758" w14:paraId="3476261F" w14:textId="77777777">
        <w:tc>
          <w:tcPr>
            <w:tcW w:w="2376" w:type="dxa"/>
            <w:shd w:val="clear" w:color="auto" w:fill="auto"/>
          </w:tcPr>
          <w:p w14:paraId="0B183057" w14:textId="3C921769" w:rsidR="006A3758" w:rsidRPr="00B96ECE" w:rsidRDefault="00B96ECE">
            <w:pPr>
              <w:rPr>
                <w:b/>
              </w:rPr>
            </w:pPr>
            <w:r>
              <w:rPr>
                <w:b/>
                <w:color w:val="003375"/>
              </w:rPr>
              <w:t>Coaching Accreditations</w:t>
            </w:r>
          </w:p>
        </w:tc>
        <w:tc>
          <w:tcPr>
            <w:tcW w:w="6866" w:type="dxa"/>
            <w:shd w:val="clear" w:color="auto" w:fill="auto"/>
          </w:tcPr>
          <w:p w14:paraId="76EF87B9" w14:textId="6922BFB9" w:rsidR="00FB3E92" w:rsidRDefault="00FB3E92" w:rsidP="00E01785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Certificate in Executive Coaching, School of Coaching at the Work Foundation / Strathclyde University 2002</w:t>
            </w:r>
          </w:p>
          <w:p w14:paraId="603B584E" w14:textId="77777777" w:rsidR="001F6516" w:rsidRDefault="00FB3E92" w:rsidP="00E01785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lastRenderedPageBreak/>
              <w:t>Accredited in psychological testing (levels A and B) by the British Psychological Society</w:t>
            </w:r>
          </w:p>
          <w:p w14:paraId="30FED430" w14:textId="77777777" w:rsidR="00D530E6" w:rsidRDefault="001F6516" w:rsidP="00D530E6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Accredited</w:t>
            </w:r>
            <w:r w:rsidR="00FB3E92">
              <w:t xml:space="preserve"> in the use of the NEO-PI R personality </w:t>
            </w:r>
            <w:proofErr w:type="gramStart"/>
            <w:r w:rsidR="00FB3E92">
              <w:t>inventory</w:t>
            </w:r>
            <w:proofErr w:type="gramEnd"/>
          </w:p>
          <w:p w14:paraId="48ADBC76" w14:textId="3B1EFFEB" w:rsidR="00D530E6" w:rsidRDefault="00D530E6" w:rsidP="00D530E6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>Science of Happiness at Work™</w:t>
            </w:r>
          </w:p>
          <w:p w14:paraId="58DC0CAE" w14:textId="77095BBF" w:rsidR="00FB3E92" w:rsidRDefault="00FB3E92" w:rsidP="00E01785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t xml:space="preserve">Member of the European Mentoring and Coaching Council </w:t>
            </w:r>
          </w:p>
          <w:p w14:paraId="479183B2" w14:textId="616CE321" w:rsidR="000B7D5C" w:rsidRDefault="000B7D5C" w:rsidP="004F1687">
            <w:pPr>
              <w:pStyle w:val="ListParagraph"/>
            </w:pPr>
          </w:p>
        </w:tc>
      </w:tr>
    </w:tbl>
    <w:p w14:paraId="7EDE7C65" w14:textId="77777777" w:rsidR="006A3758" w:rsidRDefault="006A3758" w:rsidP="001E01C3"/>
    <w:sectPr w:rsidR="006A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985" w:right="1134" w:bottom="1559" w:left="1134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AA0" w14:textId="77777777" w:rsidR="00306C9C" w:rsidRDefault="00306C9C">
      <w:pPr>
        <w:spacing w:after="0" w:line="240" w:lineRule="auto"/>
      </w:pPr>
      <w:r>
        <w:separator/>
      </w:r>
    </w:p>
  </w:endnote>
  <w:endnote w:type="continuationSeparator" w:id="0">
    <w:p w14:paraId="6B2694A0" w14:textId="77777777" w:rsidR="00306C9C" w:rsidRDefault="0030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CBE" w14:textId="77777777" w:rsidR="000B7D5C" w:rsidRDefault="000B7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34B7" w14:textId="77777777" w:rsidR="006A3758" w:rsidRDefault="00000000">
    <w:pPr>
      <w:pBdr>
        <w:top w:val="single" w:sz="18" w:space="1" w:color="003375"/>
      </w:pBdr>
      <w:tabs>
        <w:tab w:val="left" w:pos="240"/>
        <w:tab w:val="left" w:pos="5880"/>
        <w:tab w:val="right" w:pos="9639"/>
      </w:tabs>
      <w:spacing w:after="0" w:line="240" w:lineRule="auto"/>
      <w:ind w:left="-1134" w:right="-1134"/>
      <w:rPr>
        <w:b/>
        <w:color w:val="003375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tbl>
    <w:tblPr>
      <w:tblStyle w:val="a0"/>
      <w:tblW w:w="963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946"/>
      <w:gridCol w:w="2693"/>
    </w:tblGrid>
    <w:tr w:rsidR="006A3758" w14:paraId="051DD776" w14:textId="77777777">
      <w:tc>
        <w:tcPr>
          <w:tcW w:w="6946" w:type="dxa"/>
          <w:shd w:val="clear" w:color="auto" w:fill="auto"/>
          <w:tcMar>
            <w:left w:w="0" w:type="dxa"/>
            <w:right w:w="0" w:type="dxa"/>
          </w:tcMar>
        </w:tcPr>
        <w:p w14:paraId="170A59AD" w14:textId="77777777" w:rsidR="006A3758" w:rsidRDefault="00000000">
          <w:pPr>
            <w:tabs>
              <w:tab w:val="center" w:pos="4680"/>
              <w:tab w:val="right" w:pos="9360"/>
            </w:tabs>
            <w:rPr>
              <w:b/>
              <w:color w:val="003375"/>
              <w:sz w:val="16"/>
              <w:szCs w:val="16"/>
            </w:rPr>
          </w:pPr>
          <w:proofErr w:type="spellStart"/>
          <w:r>
            <w:rPr>
              <w:b/>
              <w:color w:val="003375"/>
              <w:sz w:val="16"/>
              <w:szCs w:val="16"/>
            </w:rPr>
            <w:t>iOpener</w:t>
          </w:r>
          <w:proofErr w:type="spellEnd"/>
          <w:r>
            <w:rPr>
              <w:b/>
              <w:color w:val="003375"/>
              <w:sz w:val="16"/>
              <w:szCs w:val="16"/>
            </w:rPr>
            <w:t xml:space="preserve"> Institute for People and Performance™</w:t>
          </w:r>
        </w:p>
        <w:p w14:paraId="031F0BCE" w14:textId="77777777" w:rsidR="006A3758" w:rsidRDefault="00000000">
          <w:pPr>
            <w:tabs>
              <w:tab w:val="center" w:pos="4680"/>
              <w:tab w:val="right" w:pos="9360"/>
            </w:tabs>
            <w:rPr>
              <w:color w:val="003375"/>
              <w:sz w:val="16"/>
              <w:szCs w:val="16"/>
            </w:rPr>
          </w:pPr>
          <w:proofErr w:type="spellStart"/>
          <w:r>
            <w:rPr>
              <w:color w:val="003375"/>
              <w:sz w:val="16"/>
              <w:szCs w:val="16"/>
            </w:rPr>
            <w:t>Prama</w:t>
          </w:r>
          <w:proofErr w:type="spellEnd"/>
          <w:r>
            <w:rPr>
              <w:color w:val="003375"/>
              <w:sz w:val="16"/>
              <w:szCs w:val="16"/>
            </w:rPr>
            <w:t xml:space="preserve"> </w:t>
          </w:r>
          <w:proofErr w:type="gramStart"/>
          <w:r>
            <w:rPr>
              <w:color w:val="003375"/>
              <w:sz w:val="16"/>
              <w:szCs w:val="16"/>
            </w:rPr>
            <w:t>House  267</w:t>
          </w:r>
          <w:proofErr w:type="gramEnd"/>
          <w:r>
            <w:rPr>
              <w:color w:val="003375"/>
              <w:sz w:val="16"/>
              <w:szCs w:val="16"/>
            </w:rPr>
            <w:t xml:space="preserve"> Banbury Road  Oxford  OX2 7HT  UK</w:t>
          </w:r>
        </w:p>
        <w:p w14:paraId="59149C06" w14:textId="77777777" w:rsidR="006A3758" w:rsidRDefault="00000000">
          <w:pPr>
            <w:tabs>
              <w:tab w:val="center" w:pos="4680"/>
              <w:tab w:val="right" w:pos="9360"/>
            </w:tabs>
            <w:rPr>
              <w:color w:val="003375"/>
              <w:sz w:val="16"/>
              <w:szCs w:val="16"/>
            </w:rPr>
          </w:pPr>
          <w:r>
            <w:rPr>
              <w:b/>
              <w:color w:val="EA5F16"/>
              <w:sz w:val="16"/>
              <w:szCs w:val="16"/>
            </w:rPr>
            <w:t>T</w:t>
          </w:r>
          <w:r>
            <w:rPr>
              <w:color w:val="003375"/>
              <w:sz w:val="16"/>
              <w:szCs w:val="16"/>
            </w:rPr>
            <w:t xml:space="preserve"> +44 (0) 1865 </w:t>
          </w:r>
          <w:proofErr w:type="gramStart"/>
          <w:r>
            <w:rPr>
              <w:color w:val="003375"/>
              <w:sz w:val="16"/>
              <w:szCs w:val="16"/>
            </w:rPr>
            <w:t xml:space="preserve">511522  </w:t>
          </w:r>
          <w:r>
            <w:rPr>
              <w:b/>
              <w:color w:val="EA5F16"/>
              <w:sz w:val="16"/>
              <w:szCs w:val="16"/>
            </w:rPr>
            <w:t>E</w:t>
          </w:r>
          <w:proofErr w:type="gramEnd"/>
          <w:r>
            <w:rPr>
              <w:color w:val="003375"/>
              <w:sz w:val="16"/>
              <w:szCs w:val="16"/>
            </w:rPr>
            <w:t> info@iopener.com</w:t>
          </w:r>
        </w:p>
      </w:tc>
      <w:tc>
        <w:tcPr>
          <w:tcW w:w="269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6B2893F" w14:textId="77777777" w:rsidR="006A3758" w:rsidRDefault="00000000">
          <w:pPr>
            <w:tabs>
              <w:tab w:val="center" w:pos="4680"/>
              <w:tab w:val="right" w:pos="9360"/>
            </w:tabs>
            <w:jc w:val="right"/>
            <w:rPr>
              <w:b/>
              <w:color w:val="003375"/>
              <w:sz w:val="16"/>
              <w:szCs w:val="16"/>
            </w:rPr>
          </w:pPr>
          <w:r>
            <w:rPr>
              <w:b/>
              <w:color w:val="003375"/>
              <w:sz w:val="16"/>
              <w:szCs w:val="16"/>
            </w:rPr>
            <w:t>©</w:t>
          </w:r>
          <w:proofErr w:type="spellStart"/>
          <w:r>
            <w:rPr>
              <w:b/>
              <w:color w:val="003375"/>
              <w:sz w:val="16"/>
              <w:szCs w:val="16"/>
            </w:rPr>
            <w:t>iOpener</w:t>
          </w:r>
          <w:proofErr w:type="spellEnd"/>
          <w:r>
            <w:rPr>
              <w:b/>
              <w:color w:val="003375"/>
              <w:sz w:val="16"/>
              <w:szCs w:val="16"/>
            </w:rPr>
            <w:t xml:space="preserve"> Institute</w:t>
          </w:r>
        </w:p>
        <w:p w14:paraId="0A47F20F" w14:textId="77777777" w:rsidR="006A3758" w:rsidRDefault="00000000">
          <w:pPr>
            <w:tabs>
              <w:tab w:val="center" w:pos="4680"/>
              <w:tab w:val="right" w:pos="9360"/>
            </w:tabs>
            <w:jc w:val="right"/>
            <w:rPr>
              <w:b/>
              <w:color w:val="EA5F16"/>
              <w:sz w:val="16"/>
              <w:szCs w:val="16"/>
            </w:rPr>
          </w:pPr>
          <w:r>
            <w:rPr>
              <w:b/>
              <w:color w:val="EA5F16"/>
              <w:sz w:val="16"/>
              <w:szCs w:val="16"/>
            </w:rPr>
            <w:t>www.iopenerinstitute.com</w:t>
          </w:r>
        </w:p>
      </w:tc>
    </w:tr>
  </w:tbl>
  <w:p w14:paraId="64DF6B35" w14:textId="77777777" w:rsidR="006A3758" w:rsidRDefault="006A37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337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8CAF" w14:textId="77777777" w:rsidR="000B7D5C" w:rsidRDefault="000B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6F29" w14:textId="77777777" w:rsidR="00306C9C" w:rsidRDefault="00306C9C">
      <w:pPr>
        <w:spacing w:after="0" w:line="240" w:lineRule="auto"/>
      </w:pPr>
      <w:r>
        <w:separator/>
      </w:r>
    </w:p>
  </w:footnote>
  <w:footnote w:type="continuationSeparator" w:id="0">
    <w:p w14:paraId="08713013" w14:textId="77777777" w:rsidR="00306C9C" w:rsidRDefault="0030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4DAA" w14:textId="77777777" w:rsidR="00B96ECE" w:rsidRDefault="00B9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15D3" w14:textId="77777777" w:rsidR="006A37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6F1F2F4" wp14:editId="2B0234DD">
          <wp:simplePos x="0" y="0"/>
          <wp:positionH relativeFrom="column">
            <wp:posOffset>-923924</wp:posOffset>
          </wp:positionH>
          <wp:positionV relativeFrom="paragraph">
            <wp:posOffset>-360044</wp:posOffset>
          </wp:positionV>
          <wp:extent cx="7795260" cy="11176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526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56E" w14:textId="77777777" w:rsidR="006A3758" w:rsidRDefault="006A37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AF3"/>
    <w:multiLevelType w:val="hybridMultilevel"/>
    <w:tmpl w:val="75B41A1A"/>
    <w:lvl w:ilvl="0" w:tplc="DC7AD0A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E818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05B5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E622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AD46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C301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D24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2289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8D5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424C"/>
    <w:multiLevelType w:val="hybridMultilevel"/>
    <w:tmpl w:val="E6D29724"/>
    <w:lvl w:ilvl="0" w:tplc="7AE0892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3F59"/>
    <w:multiLevelType w:val="hybridMultilevel"/>
    <w:tmpl w:val="076E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B6A92"/>
    <w:multiLevelType w:val="multilevel"/>
    <w:tmpl w:val="73423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1A408B"/>
    <w:multiLevelType w:val="hybridMultilevel"/>
    <w:tmpl w:val="C9B47ABC"/>
    <w:lvl w:ilvl="0" w:tplc="7AE0892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6CE"/>
    <w:multiLevelType w:val="multilevel"/>
    <w:tmpl w:val="14CC1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80890589">
    <w:abstractNumId w:val="3"/>
  </w:num>
  <w:num w:numId="2" w16cid:durableId="1761560510">
    <w:abstractNumId w:val="5"/>
  </w:num>
  <w:num w:numId="3" w16cid:durableId="1204368829">
    <w:abstractNumId w:val="0"/>
  </w:num>
  <w:num w:numId="4" w16cid:durableId="1596592230">
    <w:abstractNumId w:val="2"/>
  </w:num>
  <w:num w:numId="5" w16cid:durableId="548613330">
    <w:abstractNumId w:val="1"/>
  </w:num>
  <w:num w:numId="6" w16cid:durableId="1536194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58"/>
    <w:rsid w:val="00014A16"/>
    <w:rsid w:val="000358AA"/>
    <w:rsid w:val="00083A6D"/>
    <w:rsid w:val="000A4FB3"/>
    <w:rsid w:val="000B7D5C"/>
    <w:rsid w:val="001E01C3"/>
    <w:rsid w:val="001F6516"/>
    <w:rsid w:val="002B51D0"/>
    <w:rsid w:val="00306C9C"/>
    <w:rsid w:val="00307645"/>
    <w:rsid w:val="00383BEA"/>
    <w:rsid w:val="003F15AE"/>
    <w:rsid w:val="003F6F6F"/>
    <w:rsid w:val="00403EFA"/>
    <w:rsid w:val="00421E8B"/>
    <w:rsid w:val="00453D9A"/>
    <w:rsid w:val="00473E10"/>
    <w:rsid w:val="004F1687"/>
    <w:rsid w:val="00533A85"/>
    <w:rsid w:val="005A2D86"/>
    <w:rsid w:val="0065554E"/>
    <w:rsid w:val="00694217"/>
    <w:rsid w:val="006A3758"/>
    <w:rsid w:val="00823986"/>
    <w:rsid w:val="008605D3"/>
    <w:rsid w:val="0089669D"/>
    <w:rsid w:val="009E198A"/>
    <w:rsid w:val="009F4E95"/>
    <w:rsid w:val="00A30CCB"/>
    <w:rsid w:val="00A7321D"/>
    <w:rsid w:val="00A80C2D"/>
    <w:rsid w:val="00AD79A1"/>
    <w:rsid w:val="00AE5B61"/>
    <w:rsid w:val="00AF14AF"/>
    <w:rsid w:val="00B701F0"/>
    <w:rsid w:val="00B96ECE"/>
    <w:rsid w:val="00BA004E"/>
    <w:rsid w:val="00C01AC5"/>
    <w:rsid w:val="00C830EC"/>
    <w:rsid w:val="00CE79EC"/>
    <w:rsid w:val="00D0150F"/>
    <w:rsid w:val="00D0440F"/>
    <w:rsid w:val="00D33F76"/>
    <w:rsid w:val="00D530E6"/>
    <w:rsid w:val="00D62AD1"/>
    <w:rsid w:val="00DF722F"/>
    <w:rsid w:val="00E01785"/>
    <w:rsid w:val="00E20D24"/>
    <w:rsid w:val="00E45D71"/>
    <w:rsid w:val="00ED6598"/>
    <w:rsid w:val="00F20B9C"/>
    <w:rsid w:val="00F84E05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32ABB"/>
  <w15:docId w15:val="{A0B81F6B-C0ED-3240-A980-6449DED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/>
      <w:outlineLvl w:val="0"/>
    </w:pPr>
    <w:rPr>
      <w:rFonts w:ascii="Georgia" w:eastAsia="Georgia" w:hAnsi="Georgia" w:cs="Georgia"/>
      <w:b/>
      <w:color w:val="EA5F1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0"/>
      <w:outlineLvl w:val="1"/>
    </w:pPr>
    <w:rPr>
      <w:b/>
      <w:color w:val="003375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C62B15"/>
      </w:pBdr>
      <w:spacing w:after="300" w:line="240" w:lineRule="auto"/>
    </w:pPr>
    <w:rPr>
      <w:rFonts w:ascii="Georgia" w:eastAsia="Georgia" w:hAnsi="Georgia" w:cs="Georgia"/>
      <w:b/>
      <w:color w:val="EA5F16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paragraph" w:styleId="Header">
    <w:name w:val="header"/>
    <w:basedOn w:val="Normal"/>
    <w:link w:val="HeaderChar"/>
    <w:uiPriority w:val="99"/>
    <w:unhideWhenUsed/>
    <w:rsid w:val="00B9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CE"/>
  </w:style>
  <w:style w:type="paragraph" w:styleId="Footer">
    <w:name w:val="footer"/>
    <w:basedOn w:val="Normal"/>
    <w:link w:val="FooterChar"/>
    <w:uiPriority w:val="99"/>
    <w:unhideWhenUsed/>
    <w:rsid w:val="00B9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CE"/>
  </w:style>
  <w:style w:type="paragraph" w:styleId="ListParagraph">
    <w:name w:val="List Paragraph"/>
    <w:basedOn w:val="Normal"/>
    <w:uiPriority w:val="34"/>
    <w:qFormat/>
    <w:rsid w:val="00FB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8000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Nobbs</cp:lastModifiedBy>
  <cp:revision>2</cp:revision>
  <dcterms:created xsi:type="dcterms:W3CDTF">2023-10-10T09:34:00Z</dcterms:created>
  <dcterms:modified xsi:type="dcterms:W3CDTF">2023-10-10T09:34:00Z</dcterms:modified>
</cp:coreProperties>
</file>